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8"/>
      </w:tblGrid>
      <w:tr w:rsidR="00AC6755" w14:paraId="05E2808D" w14:textId="77777777" w:rsidTr="00AC6755">
        <w:tc>
          <w:tcPr>
            <w:tcW w:w="10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AE9C" w14:textId="77777777" w:rsidR="00AC6755" w:rsidRDefault="00AC675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C6755" w14:paraId="51491F55" w14:textId="77777777" w:rsidTr="00AC6755">
        <w:tc>
          <w:tcPr>
            <w:tcW w:w="10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4796" w14:textId="77777777" w:rsidR="00AC6755" w:rsidRDefault="00AC675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drawing>
                <wp:inline distT="0" distB="0" distL="0" distR="0" wp14:anchorId="324EB2F1" wp14:editId="1033A451">
                  <wp:extent cx="6553200" cy="2527300"/>
                  <wp:effectExtent l="0" t="0" r="0" b="6350"/>
                  <wp:docPr id="1" name="Billede 1" descr="cid:image002.jpg@01D7B931.62F1D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 descr="cid:image002.jpg@01D7B931.62F1D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C6755" w:rsidRPr="00AC6755" w14:paraId="25B0DDAE" w14:textId="77777777" w:rsidTr="00AC6755">
        <w:trPr>
          <w:trHeight w:val="1512"/>
        </w:trPr>
        <w:tc>
          <w:tcPr>
            <w:tcW w:w="10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D18C" w14:textId="77777777" w:rsidR="00AC6755" w:rsidRDefault="00AC67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a-DK"/>
              </w:rPr>
            </w:pPr>
          </w:p>
          <w:p w14:paraId="2DCAE79D" w14:textId="77777777" w:rsidR="00AC6755" w:rsidRDefault="00AC6755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INVITATION TO WORKHOPS: IDEA GENERATION AND MATURATION  </w:t>
            </w:r>
          </w:p>
          <w:p w14:paraId="5C244055" w14:textId="77777777" w:rsidR="00AC6755" w:rsidRDefault="00AC6755">
            <w:pPr>
              <w:pStyle w:val="xmsonormal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AAU – Engineering offers additional support for cross-faculty idea generation and maturation towards competitive projects within the Faculty’s Sustainability focus areas.</w:t>
            </w:r>
          </w:p>
          <w:p w14:paraId="75C4F5F6" w14:textId="77777777" w:rsidR="00AC6755" w:rsidRDefault="00AC6755">
            <w:pPr>
              <w:pStyle w:val="xmsonormal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 a researcher within the Faculty of Engineering and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you are invited to participate in one or several Faculty workshops on Sustainability. This will support your efforts to boost your research profile by joining a strong interdisciplinary project team working on hot-topics within Sustainability.</w:t>
            </w:r>
          </w:p>
          <w:p w14:paraId="201CCC97" w14:textId="77777777" w:rsidR="00AC6755" w:rsidRDefault="00AC6755">
            <w:pPr>
              <w:pStyle w:val="xmsonormal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0BE177D4" w14:textId="77777777" w:rsidR="00AC6755" w:rsidRDefault="00AC6755">
            <w:pPr>
              <w:pStyle w:val="xmsonormal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Faculty offers hands-on support in the following cross-department collaborative efforts to generate and mature project ideas. Strategic Faculty Funds will furthermore serve as seed money to facilitate selected collaborative endeavors to attract external funds.  </w:t>
            </w:r>
          </w:p>
          <w:p w14:paraId="63BEB19E" w14:textId="77777777" w:rsidR="00AC6755" w:rsidRDefault="00AC6755">
            <w:pPr>
              <w:pStyle w:val="xmsonormal"/>
              <w:rPr>
                <w:rFonts w:ascii="Arial" w:hAnsi="Arial" w:cs="Arial"/>
                <w:color w:val="1F497D"/>
                <w:sz w:val="20"/>
                <w:szCs w:val="20"/>
                <w:lang w:val="en-US"/>
              </w:rPr>
            </w:pPr>
          </w:p>
        </w:tc>
      </w:tr>
      <w:tr w:rsidR="00AC6755" w14:paraId="4DEA829E" w14:textId="77777777" w:rsidTr="00AC6755">
        <w:trPr>
          <w:trHeight w:val="1512"/>
        </w:trPr>
        <w:tc>
          <w:tcPr>
            <w:tcW w:w="10538" w:type="dxa"/>
            <w:shd w:val="clear" w:color="auto" w:fill="63A55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298A" w14:textId="77777777" w:rsidR="00AC6755" w:rsidRDefault="00AC6755">
            <w:pPr>
              <w:jc w:val="center"/>
              <w:rPr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</w:p>
          <w:p w14:paraId="4B8757FE" w14:textId="77777777" w:rsidR="00AC6755" w:rsidRDefault="00AC6755">
            <w:pPr>
              <w:rPr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lang w:val="en-US"/>
              </w:rPr>
              <w:t>Come AND</w:t>
            </w:r>
            <w:r>
              <w:rPr>
                <w:rFonts w:ascii="Arial" w:hAnsi="Arial" w:cs="Arial"/>
                <w:b/>
                <w:bCs/>
                <w:caps/>
                <w:color w:val="1F497D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lang w:val="en-US"/>
              </w:rPr>
              <w:t>join ENGINEERING &amp; SCIENCE cross-faculty sustainability workshops aiming to</w:t>
            </w:r>
          </w:p>
          <w:p w14:paraId="22478258" w14:textId="77777777" w:rsidR="00AC6755" w:rsidRDefault="00AC6755">
            <w:pPr>
              <w:jc w:val="center"/>
              <w:rPr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</w:p>
          <w:p w14:paraId="2C601FFE" w14:textId="77777777" w:rsidR="00AC6755" w:rsidRDefault="00AC6755" w:rsidP="006E631B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identify and develop ENGINEERING cross-departmental research projects within the Sustainability profile</w:t>
            </w:r>
          </w:p>
          <w:p w14:paraId="7EB82BAF" w14:textId="77777777" w:rsidR="00AC6755" w:rsidRDefault="00AC6755" w:rsidP="006E631B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boost and sustain research strengths, collaboration, fundraising</w:t>
            </w:r>
          </w:p>
          <w:p w14:paraId="7A70E5A9" w14:textId="77777777" w:rsidR="00AC6755" w:rsidRDefault="00AC6755" w:rsidP="006E631B">
            <w:pPr>
              <w:pStyle w:val="Listeafsni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follow up and facilitate post-workshop meetings for idea maturation</w:t>
            </w:r>
          </w:p>
          <w:p w14:paraId="582785CB" w14:textId="77777777" w:rsidR="00AC6755" w:rsidRDefault="00AC6755">
            <w:pPr>
              <w:rPr>
                <w:rFonts w:ascii="Arial" w:hAnsi="Arial" w:cs="Arial"/>
                <w:b/>
                <w:bCs/>
                <w:color w:val="1F497D"/>
                <w:sz w:val="20"/>
                <w:szCs w:val="20"/>
                <w:lang w:val="en-US"/>
              </w:rPr>
            </w:pPr>
          </w:p>
          <w:p w14:paraId="7F44B142" w14:textId="77777777" w:rsidR="00AC6755" w:rsidRDefault="00AC6755">
            <w:pPr>
              <w:rPr>
                <w:rFonts w:ascii="Arial" w:hAnsi="Arial" w:cs="Arial"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val="en-US"/>
              </w:rPr>
              <w:t>Keep an eye on the upcoming workshop announcements offering the possibility to propose a project or to match-make your expertise with a proposed project.</w:t>
            </w:r>
          </w:p>
          <w:p w14:paraId="09511C21" w14:textId="77777777" w:rsidR="00AC6755" w:rsidRDefault="00AC6755">
            <w:pPr>
              <w:rPr>
                <w:rFonts w:ascii="Arial" w:hAnsi="Arial" w:cs="Arial"/>
                <w:i/>
                <w:iCs/>
                <w:color w:val="FFFFFF"/>
                <w:sz w:val="20"/>
                <w:szCs w:val="20"/>
                <w:lang w:val="en-US"/>
              </w:rPr>
            </w:pPr>
          </w:p>
          <w:p w14:paraId="07B0C7E1" w14:textId="77777777" w:rsidR="00AC6755" w:rsidRDefault="00AC6755">
            <w:pPr>
              <w:rPr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20"/>
                <w:szCs w:val="20"/>
                <w:lang w:val="en-US"/>
              </w:rPr>
              <w:t>Save the dates for one or more of the upcoming Sustainability Workshops:</w:t>
            </w:r>
          </w:p>
          <w:p w14:paraId="23F0A475" w14:textId="77777777" w:rsidR="00AC6755" w:rsidRDefault="00AC6755" w:rsidP="006E631B">
            <w:pPr>
              <w:pStyle w:val="xmsonormal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16.11.2021      Agricultural and Food Technology</w:t>
            </w:r>
          </w:p>
          <w:p w14:paraId="61E1EC4D" w14:textId="77777777" w:rsidR="00AC6755" w:rsidRDefault="00AC6755" w:rsidP="006E631B">
            <w:pPr>
              <w:pStyle w:val="xmsonormal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20.01.2022      Recycling and Circular Economy </w:t>
            </w:r>
          </w:p>
          <w:p w14:paraId="333330F9" w14:textId="77777777" w:rsidR="00AC6755" w:rsidRDefault="00AC67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da-DK"/>
              </w:rPr>
            </w:pPr>
          </w:p>
        </w:tc>
      </w:tr>
      <w:tr w:rsidR="00AC6755" w:rsidRPr="00AC6755" w14:paraId="7293B663" w14:textId="77777777" w:rsidTr="00AC6755">
        <w:trPr>
          <w:trHeight w:val="542"/>
        </w:trPr>
        <w:tc>
          <w:tcPr>
            <w:tcW w:w="10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D026" w14:textId="77777777" w:rsidR="00AC6755" w:rsidRDefault="00AC6755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32BB1919" w14:textId="77777777" w:rsidR="00AC6755" w:rsidRDefault="00AC6755">
            <w:pPr>
              <w:pStyle w:val="xmsonormal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Dates in 2022 to be announced later in 2021: </w:t>
            </w:r>
          </w:p>
          <w:p w14:paraId="4EBE9F02" w14:textId="77777777" w:rsidR="00AC6755" w:rsidRDefault="00AC6755" w:rsidP="006E631B">
            <w:pPr>
              <w:pStyle w:val="xmsonormal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Sustainable Cities, Buildings and Components</w:t>
            </w:r>
          </w:p>
          <w:p w14:paraId="01E70225" w14:textId="77777777" w:rsidR="00AC6755" w:rsidRDefault="00AC6755" w:rsidP="006E631B">
            <w:pPr>
              <w:pStyle w:val="xmsonormal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Future Transport and Mobility</w:t>
            </w:r>
          </w:p>
          <w:p w14:paraId="164A06EE" w14:textId="77777777" w:rsidR="00AC6755" w:rsidRDefault="00AC6755" w:rsidP="006E631B">
            <w:pPr>
              <w:pStyle w:val="xmsonormal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Energy Production and Distribution</w:t>
            </w:r>
          </w:p>
          <w:p w14:paraId="30F8A8DD" w14:textId="77777777" w:rsidR="00AC6755" w:rsidRDefault="00AC6755" w:rsidP="006E631B">
            <w:pPr>
              <w:pStyle w:val="xmsonormal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Medical, Health and Welfare Technology</w:t>
            </w:r>
          </w:p>
          <w:p w14:paraId="4E72ECF1" w14:textId="77777777" w:rsidR="00AC6755" w:rsidRDefault="00AC6755" w:rsidP="006E631B">
            <w:pPr>
              <w:pStyle w:val="xmsonormal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Sustainable Production</w:t>
            </w:r>
          </w:p>
          <w:p w14:paraId="29F8BE68" w14:textId="77777777" w:rsidR="00AC6755" w:rsidRDefault="00AC6755" w:rsidP="006E631B">
            <w:pPr>
              <w:pStyle w:val="xmsonormal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Environmental Technology, Nature and Biodiversity</w:t>
            </w:r>
          </w:p>
          <w:p w14:paraId="46AD61FD" w14:textId="77777777" w:rsidR="00AC6755" w:rsidRDefault="00AC6755" w:rsidP="006E631B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Flexible and Efficient Energy Use </w:t>
            </w:r>
          </w:p>
          <w:p w14:paraId="04950852" w14:textId="77777777" w:rsidR="00AC6755" w:rsidRDefault="00AC67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6CEA5C" w14:textId="77777777" w:rsidR="00AC6755" w:rsidRDefault="00AC67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The workshops will typically be half day - events (usually in the afternoon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between 12 – 16 o’clock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) with a two-month periodicity. </w:t>
            </w:r>
          </w:p>
          <w:p w14:paraId="4167AA95" w14:textId="77777777" w:rsidR="00AC6755" w:rsidRDefault="00AC67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107E3D4" w14:textId="77777777" w:rsidR="00AC6755" w:rsidRDefault="00AC67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Before each workshop we will send:</w:t>
            </w:r>
          </w:p>
          <w:p w14:paraId="66BC23B7" w14:textId="77777777" w:rsidR="00AC6755" w:rsidRDefault="00AC6755" w:rsidP="006E631B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(8 weeks before) 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1st announcement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– ’Call for project ideas’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within the announced area, in which we ask for project ideas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needed competencies across ENGINEERING (registration time 2 weeks)</w:t>
            </w:r>
          </w:p>
          <w:p w14:paraId="5AB30C4E" w14:textId="77777777" w:rsidR="00AC6755" w:rsidRDefault="00AC6755" w:rsidP="006E631B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(6 weeks before) 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2nd announcement 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’Call for expertise’: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based on the registered project ideas we invite more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participants  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registration time other 2 weeks).</w:t>
            </w:r>
          </w:p>
          <w:p w14:paraId="21EBEA99" w14:textId="77777777" w:rsidR="00AC6755" w:rsidRDefault="00AC6755">
            <w:pPr>
              <w:pStyle w:val="Listeafsni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6755" w:rsidRPr="00AC6755" w14:paraId="56B8F735" w14:textId="77777777" w:rsidTr="00AC6755">
        <w:tc>
          <w:tcPr>
            <w:tcW w:w="10538" w:type="dxa"/>
            <w:shd w:val="clear" w:color="auto" w:fill="63A55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E6C2" w14:textId="77777777" w:rsidR="00AC6755" w:rsidRDefault="00AC6755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US"/>
              </w:rPr>
              <w:lastRenderedPageBreak/>
              <w:br/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color w:val="FFFFFF"/>
                  <w:sz w:val="28"/>
                  <w:szCs w:val="28"/>
                  <w:lang w:val="en-US"/>
                </w:rPr>
                <w:t>Check out the faculty’s Research and Sustainability Profile</w:t>
              </w:r>
            </w:hyperlink>
          </w:p>
          <w:p w14:paraId="61495E71" w14:textId="77777777" w:rsidR="00AC6755" w:rsidRDefault="00AC6755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US"/>
              </w:rPr>
            </w:pPr>
          </w:p>
        </w:tc>
      </w:tr>
    </w:tbl>
    <w:p w14:paraId="10F08426" w14:textId="77777777" w:rsidR="00E01954" w:rsidRPr="00AC6755" w:rsidRDefault="00E01954">
      <w:pPr>
        <w:rPr>
          <w:lang w:val="en-US"/>
        </w:rPr>
      </w:pPr>
    </w:p>
    <w:sectPr w:rsidR="00E01954" w:rsidRPr="00AC67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2E84"/>
    <w:multiLevelType w:val="hybridMultilevel"/>
    <w:tmpl w:val="847AC5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371F"/>
    <w:multiLevelType w:val="hybridMultilevel"/>
    <w:tmpl w:val="CD328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2164"/>
    <w:multiLevelType w:val="hybridMultilevel"/>
    <w:tmpl w:val="86283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0B40"/>
    <w:multiLevelType w:val="hybridMultilevel"/>
    <w:tmpl w:val="7246560A"/>
    <w:lvl w:ilvl="0" w:tplc="17823C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55"/>
    <w:rsid w:val="00AC6755"/>
    <w:rsid w:val="00E0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3A20"/>
  <w15:chartTrackingRefBased/>
  <w15:docId w15:val="{4EEEFCC7-87AC-406B-A19C-8F5FAA4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755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C6755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AC6755"/>
    <w:pPr>
      <w:ind w:left="720"/>
    </w:pPr>
  </w:style>
  <w:style w:type="paragraph" w:customStyle="1" w:styleId="xmsonormal">
    <w:name w:val="x_msonormal"/>
    <w:basedOn w:val="Normal"/>
    <w:rsid w:val="00AC6755"/>
    <w:rPr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n.engineering.aau.dk/Engineering+b%C3%A6redygtighedsindsats/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jpg@01D7B931.62F1D17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3BE1D4BCA3D458B185E0C2B2D260F" ma:contentTypeVersion="13" ma:contentTypeDescription="Opret et nyt dokument." ma:contentTypeScope="" ma:versionID="f3a3b59b1135a9814afafdca6d1c14ce">
  <xsd:schema xmlns:xsd="http://www.w3.org/2001/XMLSchema" xmlns:xs="http://www.w3.org/2001/XMLSchema" xmlns:p="http://schemas.microsoft.com/office/2006/metadata/properties" xmlns:ns3="1f4c5584-4049-4670-96f1-2ba11463e0b7" xmlns:ns4="169fb043-450d-4121-9ffe-ada11dc72462" targetNamespace="http://schemas.microsoft.com/office/2006/metadata/properties" ma:root="true" ma:fieldsID="87287976e17a3ba4faac2b12a1b26136" ns3:_="" ns4:_="">
    <xsd:import namespace="1f4c5584-4049-4670-96f1-2ba11463e0b7"/>
    <xsd:import namespace="169fb043-450d-4121-9ffe-ada11dc72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5584-4049-4670-96f1-2ba11463e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b043-450d-4121-9ffe-ada11dc72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2A2D8-8F27-4565-A333-A3A6090F7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c5584-4049-4670-96f1-2ba11463e0b7"/>
    <ds:schemaRef ds:uri="169fb043-450d-4121-9ffe-ada11dc72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2DAD7-026F-4634-8BE9-C1F2E70EF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A4FD9-F6DE-4355-955B-24B575AB6E6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169fb043-450d-4121-9ffe-ada11dc72462"/>
    <ds:schemaRef ds:uri="http://schemas.openxmlformats.org/package/2006/metadata/core-properties"/>
    <ds:schemaRef ds:uri="1f4c5584-4049-4670-96f1-2ba11463e0b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Kristensen</dc:creator>
  <cp:keywords/>
  <dc:description/>
  <cp:lastModifiedBy>Camilla Kristensen</cp:lastModifiedBy>
  <cp:revision>1</cp:revision>
  <dcterms:created xsi:type="dcterms:W3CDTF">2021-10-07T09:45:00Z</dcterms:created>
  <dcterms:modified xsi:type="dcterms:W3CDTF">2021-10-07T09:47:00Z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0x01010001C3BE1D4BCA3D458B185E0C2B2D260F</vt:lpwstr>
  </property>
</Properties>
</file>